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A9B" w:rsidRDefault="00790A9B" w:rsidP="009C666A">
      <w:pPr>
        <w:jc w:val="center"/>
        <w:rPr>
          <w:rFonts w:ascii=".HelveticaNeueUI" w:eastAsia="Times New Roman" w:hAnsi=".HelveticaNeueUI"/>
          <w:sz w:val="56"/>
          <w:szCs w:val="56"/>
        </w:rPr>
      </w:pPr>
      <w:r>
        <w:rPr>
          <w:rFonts w:ascii="Helvetica" w:hAnsi="Helvetica"/>
          <w:noProof/>
          <w:color w:val="444444"/>
          <w:sz w:val="18"/>
          <w:szCs w:val="18"/>
        </w:rPr>
        <w:drawing>
          <wp:inline distT="0" distB="0" distL="0" distR="0" wp14:anchorId="04BE6BC5" wp14:editId="07AE581A">
            <wp:extent cx="5922645" cy="6381750"/>
            <wp:effectExtent l="0" t="0" r="1905" b="0"/>
            <wp:docPr id="1" name="Picture 1" descr="Charles Dickson, Serving It Up,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Dickson, Serving It Up, 2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246" cy="6394250"/>
                    </a:xfrm>
                    <a:prstGeom prst="rect">
                      <a:avLst/>
                    </a:prstGeom>
                    <a:noFill/>
                    <a:ln>
                      <a:noFill/>
                    </a:ln>
                  </pic:spPr>
                </pic:pic>
              </a:graphicData>
            </a:graphic>
          </wp:inline>
        </w:drawing>
      </w:r>
      <w:r>
        <w:rPr>
          <w:rFonts w:ascii=".HelveticaNeueUI" w:eastAsia="Times New Roman" w:hAnsi=".HelveticaNeueUI"/>
          <w:sz w:val="56"/>
          <w:szCs w:val="56"/>
        </w:rPr>
        <w:t xml:space="preserve"> </w:t>
      </w:r>
    </w:p>
    <w:p w:rsidR="009C666A" w:rsidRDefault="009C666A" w:rsidP="009C666A">
      <w:pPr>
        <w:jc w:val="center"/>
        <w:rPr>
          <w:rFonts w:ascii=".HelveticaNeueUI" w:eastAsia="Times New Roman" w:hAnsi=".HelveticaNeueUI"/>
          <w:sz w:val="56"/>
          <w:szCs w:val="56"/>
        </w:rPr>
      </w:pPr>
      <w:r>
        <w:rPr>
          <w:rFonts w:ascii=".HelveticaNeueUI" w:eastAsia="Times New Roman" w:hAnsi=".HelveticaNeueUI"/>
          <w:sz w:val="56"/>
          <w:szCs w:val="56"/>
        </w:rPr>
        <w:t>Artillery Magazine</w:t>
      </w:r>
    </w:p>
    <w:p w:rsidR="009C666A" w:rsidRPr="00106482" w:rsidRDefault="009C666A" w:rsidP="009C666A">
      <w:pPr>
        <w:jc w:val="center"/>
        <w:rPr>
          <w:rFonts w:ascii=".HelveticaNeueUI" w:eastAsia="Times New Roman" w:hAnsi=".HelveticaNeueUI"/>
          <w:sz w:val="24"/>
          <w:szCs w:val="24"/>
        </w:rPr>
      </w:pPr>
      <w:r w:rsidRPr="00106482">
        <w:rPr>
          <w:rFonts w:ascii=".HelveticaNeueUI" w:eastAsia="Times New Roman" w:hAnsi=".HelveticaNeueUI"/>
          <w:sz w:val="24"/>
          <w:szCs w:val="24"/>
        </w:rPr>
        <w:t xml:space="preserve">Charles Dickson Watts Towers Arts Center / Los Angeles by Greg </w:t>
      </w:r>
      <w:proofErr w:type="spellStart"/>
      <w:r w:rsidRPr="00106482">
        <w:rPr>
          <w:rFonts w:ascii=".HelveticaNeueUI" w:eastAsia="Times New Roman" w:hAnsi=".HelveticaNeueUI"/>
          <w:sz w:val="24"/>
          <w:szCs w:val="24"/>
        </w:rPr>
        <w:t>Angaza</w:t>
      </w:r>
      <w:proofErr w:type="spellEnd"/>
      <w:r w:rsidRPr="00106482">
        <w:rPr>
          <w:rFonts w:ascii=".HelveticaNeueUI" w:eastAsia="Times New Roman" w:hAnsi=".HelveticaNeueUI"/>
          <w:sz w:val="24"/>
          <w:szCs w:val="24"/>
        </w:rPr>
        <w:t xml:space="preserve"> Pitts · January 7</w:t>
      </w:r>
      <w:r w:rsidR="00790A9B">
        <w:rPr>
          <w:rFonts w:ascii=".HelveticaNeueUI" w:eastAsia="Times New Roman" w:hAnsi=".HelveticaNeueUI"/>
          <w:sz w:val="24"/>
          <w:szCs w:val="24"/>
        </w:rPr>
        <w:t>, 2014</w:t>
      </w:r>
    </w:p>
    <w:p w:rsidR="009C666A" w:rsidRPr="00106482" w:rsidRDefault="00790A9B" w:rsidP="00790A9B">
      <w:pPr>
        <w:spacing w:after="0" w:line="420" w:lineRule="atLeast"/>
        <w:jc w:val="center"/>
        <w:rPr>
          <w:rFonts w:ascii="Times New Roman" w:eastAsia="Times New Roman" w:hAnsi="Times New Roman" w:cs="Times New Roman"/>
          <w:color w:val="444444"/>
          <w:sz w:val="36"/>
          <w:szCs w:val="36"/>
        </w:rPr>
      </w:pPr>
      <w:r w:rsidRPr="00790A9B">
        <w:rPr>
          <w:rFonts w:ascii="Times New Roman" w:eastAsia="Times New Roman" w:hAnsi="Times New Roman" w:cs="Times New Roman"/>
          <w:b/>
          <w:i/>
          <w:color w:val="444444"/>
          <w:sz w:val="36"/>
          <w:szCs w:val="36"/>
        </w:rPr>
        <w:t xml:space="preserve">“Serving </w:t>
      </w:r>
      <w:proofErr w:type="gramStart"/>
      <w:r w:rsidRPr="00790A9B">
        <w:rPr>
          <w:rFonts w:ascii="Times New Roman" w:eastAsia="Times New Roman" w:hAnsi="Times New Roman" w:cs="Times New Roman"/>
          <w:b/>
          <w:i/>
          <w:color w:val="444444"/>
          <w:sz w:val="36"/>
          <w:szCs w:val="36"/>
        </w:rPr>
        <w:t>It</w:t>
      </w:r>
      <w:proofErr w:type="gramEnd"/>
      <w:r w:rsidRPr="00790A9B">
        <w:rPr>
          <w:rFonts w:ascii="Times New Roman" w:eastAsia="Times New Roman" w:hAnsi="Times New Roman" w:cs="Times New Roman"/>
          <w:b/>
          <w:i/>
          <w:color w:val="444444"/>
          <w:sz w:val="36"/>
          <w:szCs w:val="36"/>
        </w:rPr>
        <w:t xml:space="preserve"> Up”</w:t>
      </w:r>
      <w:r>
        <w:rPr>
          <w:rFonts w:ascii="Times New Roman" w:eastAsia="Times New Roman" w:hAnsi="Times New Roman" w:cs="Times New Roman"/>
          <w:color w:val="444444"/>
          <w:sz w:val="36"/>
          <w:szCs w:val="36"/>
        </w:rPr>
        <w:t xml:space="preserve"> </w:t>
      </w:r>
      <w:r>
        <w:rPr>
          <w:rFonts w:ascii="Times New Roman" w:eastAsia="Times New Roman" w:hAnsi="Times New Roman" w:cs="Times New Roman"/>
          <w:color w:val="444444"/>
          <w:sz w:val="20"/>
          <w:szCs w:val="20"/>
        </w:rPr>
        <w:t>photo</w:t>
      </w:r>
    </w:p>
    <w:p w:rsidR="009C666A" w:rsidRDefault="009C666A" w:rsidP="009C666A">
      <w:pPr>
        <w:spacing w:after="0" w:line="420" w:lineRule="atLeast"/>
        <w:rPr>
          <w:rFonts w:ascii="Times New Roman" w:eastAsia="Times New Roman" w:hAnsi="Times New Roman" w:cs="Times New Roman"/>
          <w:color w:val="444444"/>
          <w:sz w:val="36"/>
          <w:szCs w:val="36"/>
        </w:rPr>
      </w:pPr>
    </w:p>
    <w:p w:rsidR="009C666A" w:rsidRPr="00106482" w:rsidRDefault="009C666A" w:rsidP="009C666A">
      <w:pPr>
        <w:spacing w:after="420" w:line="420" w:lineRule="atLeast"/>
        <w:rPr>
          <w:rFonts w:ascii="Times New Roman" w:eastAsia="Times New Roman" w:hAnsi="Times New Roman" w:cs="Times New Roman"/>
          <w:color w:val="444444"/>
          <w:sz w:val="36"/>
          <w:szCs w:val="36"/>
        </w:rPr>
      </w:pPr>
      <w:r w:rsidRPr="00106482">
        <w:rPr>
          <w:rFonts w:ascii="Times New Roman" w:eastAsia="Times New Roman" w:hAnsi="Times New Roman" w:cs="Times New Roman"/>
          <w:color w:val="444444"/>
          <w:sz w:val="36"/>
          <w:szCs w:val="36"/>
        </w:rPr>
        <w:t>The sprawling Charles Dickson retrospective, dispersed throughout the Purifoy Gallery at the Watts Towers Arts Center and the Mingus Gallery in the Charles Mingus Youth Arts Center, exhibits an artist who knew he was born with a gift and that his life’s work was to be an artist or “creative agent.” Over 70 pieces showcase the artist’s vast range, while exploring his extensive skill set. </w:t>
      </w:r>
    </w:p>
    <w:p w:rsidR="00790A9B" w:rsidRDefault="00790A9B" w:rsidP="009C666A">
      <w:pPr>
        <w:spacing w:after="420" w:line="420" w:lineRule="atLeast"/>
        <w:rPr>
          <w:rFonts w:ascii="Times New Roman" w:eastAsia="Times New Roman" w:hAnsi="Times New Roman" w:cs="Times New Roman"/>
          <w:color w:val="444444"/>
          <w:sz w:val="36"/>
          <w:szCs w:val="36"/>
        </w:rPr>
      </w:pPr>
    </w:p>
    <w:p w:rsidR="009C666A" w:rsidRPr="00106482" w:rsidRDefault="009C666A" w:rsidP="009C666A">
      <w:pPr>
        <w:spacing w:after="420" w:line="420" w:lineRule="atLeast"/>
        <w:rPr>
          <w:rFonts w:ascii="Times New Roman" w:eastAsia="Times New Roman" w:hAnsi="Times New Roman" w:cs="Times New Roman"/>
          <w:color w:val="444444"/>
          <w:sz w:val="36"/>
          <w:szCs w:val="36"/>
        </w:rPr>
      </w:pPr>
      <w:r w:rsidRPr="00106482">
        <w:rPr>
          <w:rFonts w:ascii="Times New Roman" w:eastAsia="Times New Roman" w:hAnsi="Times New Roman" w:cs="Times New Roman"/>
          <w:color w:val="444444"/>
          <w:sz w:val="36"/>
          <w:szCs w:val="36"/>
        </w:rPr>
        <w:t xml:space="preserve">A wall relief entitled </w:t>
      </w:r>
      <w:r w:rsidRPr="00106482">
        <w:rPr>
          <w:rFonts w:ascii="Times New Roman" w:eastAsia="Times New Roman" w:hAnsi="Times New Roman" w:cs="Times New Roman"/>
          <w:i/>
          <w:iCs/>
          <w:color w:val="444444"/>
          <w:sz w:val="36"/>
          <w:szCs w:val="36"/>
        </w:rPr>
        <w:t>Inside Out</w:t>
      </w:r>
      <w:r w:rsidRPr="00106482">
        <w:rPr>
          <w:rFonts w:ascii="Times New Roman" w:eastAsia="Times New Roman" w:hAnsi="Times New Roman" w:cs="Times New Roman"/>
          <w:color w:val="444444"/>
          <w:sz w:val="36"/>
          <w:szCs w:val="36"/>
        </w:rPr>
        <w:t xml:space="preserve"> (2008) features an inverted Lexus hood whose underside reveals what was once concealed and is now exposed; this piece is embellished with arranged objects that are specific to the artist’s person, i.e., eye mask, inhalers, small sculptures, wood chisels and mallets, which combine to form a “material self-portrait.”</w:t>
      </w:r>
    </w:p>
    <w:p w:rsidR="009C666A" w:rsidRDefault="009C666A" w:rsidP="009C666A">
      <w:pPr>
        <w:spacing w:after="420" w:line="420" w:lineRule="atLeast"/>
        <w:rPr>
          <w:rFonts w:ascii="Times New Roman" w:eastAsia="Times New Roman" w:hAnsi="Times New Roman" w:cs="Times New Roman"/>
          <w:color w:val="444444"/>
          <w:sz w:val="36"/>
          <w:szCs w:val="36"/>
        </w:rPr>
      </w:pPr>
      <w:r w:rsidRPr="00106482">
        <w:rPr>
          <w:rFonts w:ascii="Times New Roman" w:eastAsia="Times New Roman" w:hAnsi="Times New Roman" w:cs="Times New Roman"/>
          <w:color w:val="444444"/>
          <w:sz w:val="36"/>
          <w:szCs w:val="36"/>
        </w:rPr>
        <w:t xml:space="preserve">With </w:t>
      </w:r>
      <w:proofErr w:type="spellStart"/>
      <w:r w:rsidRPr="00106482">
        <w:rPr>
          <w:rFonts w:ascii="Times New Roman" w:eastAsia="Times New Roman" w:hAnsi="Times New Roman" w:cs="Times New Roman"/>
          <w:i/>
          <w:iCs/>
          <w:color w:val="444444"/>
          <w:sz w:val="36"/>
          <w:szCs w:val="36"/>
        </w:rPr>
        <w:t>Steppin</w:t>
      </w:r>
      <w:proofErr w:type="spellEnd"/>
      <w:r w:rsidRPr="00106482">
        <w:rPr>
          <w:rFonts w:ascii="Times New Roman" w:eastAsia="Times New Roman" w:hAnsi="Times New Roman" w:cs="Times New Roman"/>
          <w:i/>
          <w:iCs/>
          <w:color w:val="444444"/>
          <w:sz w:val="36"/>
          <w:szCs w:val="36"/>
        </w:rPr>
        <w:t xml:space="preserve">’ In, </w:t>
      </w:r>
      <w:proofErr w:type="spellStart"/>
      <w:r w:rsidRPr="00106482">
        <w:rPr>
          <w:rFonts w:ascii="Times New Roman" w:eastAsia="Times New Roman" w:hAnsi="Times New Roman" w:cs="Times New Roman"/>
          <w:i/>
          <w:iCs/>
          <w:color w:val="444444"/>
          <w:sz w:val="36"/>
          <w:szCs w:val="36"/>
        </w:rPr>
        <w:t>Steppin’Off</w:t>
      </w:r>
      <w:proofErr w:type="spellEnd"/>
      <w:r w:rsidRPr="00106482">
        <w:rPr>
          <w:rFonts w:ascii="Times New Roman" w:eastAsia="Times New Roman" w:hAnsi="Times New Roman" w:cs="Times New Roman"/>
          <w:i/>
          <w:iCs/>
          <w:color w:val="444444"/>
          <w:sz w:val="36"/>
          <w:szCs w:val="36"/>
        </w:rPr>
        <w:t xml:space="preserve">, </w:t>
      </w:r>
      <w:proofErr w:type="spellStart"/>
      <w:r w:rsidRPr="00106482">
        <w:rPr>
          <w:rFonts w:ascii="Times New Roman" w:eastAsia="Times New Roman" w:hAnsi="Times New Roman" w:cs="Times New Roman"/>
          <w:i/>
          <w:iCs/>
          <w:color w:val="444444"/>
          <w:sz w:val="36"/>
          <w:szCs w:val="36"/>
        </w:rPr>
        <w:t>Steppin</w:t>
      </w:r>
      <w:proofErr w:type="spellEnd"/>
      <w:r w:rsidRPr="00106482">
        <w:rPr>
          <w:rFonts w:ascii="Times New Roman" w:eastAsia="Times New Roman" w:hAnsi="Times New Roman" w:cs="Times New Roman"/>
          <w:i/>
          <w:iCs/>
          <w:color w:val="444444"/>
          <w:sz w:val="36"/>
          <w:szCs w:val="36"/>
        </w:rPr>
        <w:t>’ On</w:t>
      </w:r>
      <w:r w:rsidRPr="00106482">
        <w:rPr>
          <w:rFonts w:ascii="Times New Roman" w:eastAsia="Times New Roman" w:hAnsi="Times New Roman" w:cs="Times New Roman"/>
          <w:color w:val="444444"/>
          <w:sz w:val="36"/>
          <w:szCs w:val="36"/>
        </w:rPr>
        <w:t xml:space="preserve"> (1989) we find a visual compliment to </w:t>
      </w:r>
      <w:r w:rsidRPr="00106482">
        <w:rPr>
          <w:rFonts w:ascii="Times New Roman" w:eastAsia="Times New Roman" w:hAnsi="Times New Roman" w:cs="Times New Roman"/>
          <w:i/>
          <w:iCs/>
          <w:color w:val="444444"/>
          <w:sz w:val="36"/>
          <w:szCs w:val="36"/>
        </w:rPr>
        <w:t>Inside Out</w:t>
      </w:r>
      <w:r w:rsidRPr="00106482">
        <w:rPr>
          <w:rFonts w:ascii="Times New Roman" w:eastAsia="Times New Roman" w:hAnsi="Times New Roman" w:cs="Times New Roman"/>
          <w:color w:val="444444"/>
          <w:sz w:val="36"/>
          <w:szCs w:val="36"/>
        </w:rPr>
        <w:t xml:space="preserve">, concerning itself with metamorphosis, transformation and time. The viewer encounters a life-size African-American female figure stepping into the gallery’s space, emerging from a wall/womb, shedding a Plexiglas chrysalis while pushing through to actual space, duplicating the motion of time-lapse photography and traveling through multiple dimensions. Dickson’s devotion to detail rivals artists Bob Graham, Tina Allen and Frank Cummings. The figure performs an impossible balancing act, extending off the gallery’s wall a considerable distance into the gallery. </w:t>
      </w:r>
    </w:p>
    <w:p w:rsidR="009C666A" w:rsidRPr="00106482" w:rsidRDefault="009C666A" w:rsidP="009C666A">
      <w:pPr>
        <w:spacing w:after="420" w:line="420" w:lineRule="atLeast"/>
        <w:rPr>
          <w:rFonts w:ascii="Times New Roman" w:eastAsia="Times New Roman" w:hAnsi="Times New Roman" w:cs="Times New Roman"/>
          <w:color w:val="444444"/>
          <w:sz w:val="36"/>
          <w:szCs w:val="36"/>
        </w:rPr>
      </w:pPr>
      <w:r w:rsidRPr="00106482">
        <w:rPr>
          <w:rFonts w:ascii="Times New Roman" w:eastAsia="Times New Roman" w:hAnsi="Times New Roman" w:cs="Times New Roman"/>
          <w:color w:val="444444"/>
          <w:sz w:val="36"/>
          <w:szCs w:val="36"/>
        </w:rPr>
        <w:t xml:space="preserve">The sculpture’s volume and mass contradicts our sense of weight. Dickson visually floats the piece in its own holographic space. </w:t>
      </w:r>
      <w:proofErr w:type="spellStart"/>
      <w:r w:rsidRPr="00106482">
        <w:rPr>
          <w:rFonts w:ascii="Times New Roman" w:eastAsia="Times New Roman" w:hAnsi="Times New Roman" w:cs="Times New Roman"/>
          <w:i/>
          <w:iCs/>
          <w:color w:val="444444"/>
          <w:sz w:val="36"/>
          <w:szCs w:val="36"/>
        </w:rPr>
        <w:t>Sistah’s</w:t>
      </w:r>
      <w:proofErr w:type="spellEnd"/>
      <w:r w:rsidRPr="00106482">
        <w:rPr>
          <w:rFonts w:ascii="Times New Roman" w:eastAsia="Times New Roman" w:hAnsi="Times New Roman" w:cs="Times New Roman"/>
          <w:i/>
          <w:iCs/>
          <w:color w:val="444444"/>
          <w:sz w:val="36"/>
          <w:szCs w:val="36"/>
        </w:rPr>
        <w:t xml:space="preserve"> Body Spirits</w:t>
      </w:r>
      <w:r w:rsidRPr="00106482">
        <w:rPr>
          <w:rFonts w:ascii="Times New Roman" w:eastAsia="Times New Roman" w:hAnsi="Times New Roman" w:cs="Times New Roman"/>
          <w:color w:val="444444"/>
          <w:sz w:val="36"/>
          <w:szCs w:val="36"/>
        </w:rPr>
        <w:t xml:space="preserve"> (1978) is part of his running homage to African-American women. The body cast of four life-size women surrounding a young girl’s body cast offers a visual reminder of the African proverb, “It takes a whole village to raise a child.” </w:t>
      </w:r>
    </w:p>
    <w:p w:rsidR="009C666A" w:rsidRPr="00106482" w:rsidRDefault="009C666A" w:rsidP="009C666A">
      <w:pPr>
        <w:spacing w:after="420" w:line="420" w:lineRule="atLeast"/>
        <w:rPr>
          <w:rFonts w:ascii="Times New Roman" w:eastAsia="Times New Roman" w:hAnsi="Times New Roman" w:cs="Times New Roman"/>
          <w:color w:val="444444"/>
          <w:sz w:val="36"/>
          <w:szCs w:val="36"/>
        </w:rPr>
      </w:pPr>
      <w:r w:rsidRPr="00106482">
        <w:rPr>
          <w:rFonts w:ascii="Times New Roman" w:eastAsia="Times New Roman" w:hAnsi="Times New Roman" w:cs="Times New Roman"/>
          <w:color w:val="444444"/>
          <w:sz w:val="36"/>
          <w:szCs w:val="36"/>
        </w:rPr>
        <w:t xml:space="preserve">The Mingus Gallery was the site of several significant works that included a drawing table (2005) belonging to master watercolorist Bill </w:t>
      </w:r>
      <w:proofErr w:type="spellStart"/>
      <w:r w:rsidRPr="00106482">
        <w:rPr>
          <w:rFonts w:ascii="Times New Roman" w:eastAsia="Times New Roman" w:hAnsi="Times New Roman" w:cs="Times New Roman"/>
          <w:color w:val="444444"/>
          <w:sz w:val="36"/>
          <w:szCs w:val="36"/>
        </w:rPr>
        <w:t>Pajaud</w:t>
      </w:r>
      <w:proofErr w:type="spellEnd"/>
      <w:r w:rsidRPr="00106482">
        <w:rPr>
          <w:rFonts w:ascii="Times New Roman" w:eastAsia="Times New Roman" w:hAnsi="Times New Roman" w:cs="Times New Roman"/>
          <w:color w:val="444444"/>
          <w:sz w:val="36"/>
          <w:szCs w:val="36"/>
        </w:rPr>
        <w:t xml:space="preserve">. The table skillfully blurred lines between high-end sculpture and customized furniture. It offered a unique collaboration point between Dickson and </w:t>
      </w:r>
      <w:proofErr w:type="spellStart"/>
      <w:r w:rsidRPr="00106482">
        <w:rPr>
          <w:rFonts w:ascii="Times New Roman" w:eastAsia="Times New Roman" w:hAnsi="Times New Roman" w:cs="Times New Roman"/>
          <w:color w:val="444444"/>
          <w:sz w:val="36"/>
          <w:szCs w:val="36"/>
        </w:rPr>
        <w:t>Pajaud</w:t>
      </w:r>
      <w:proofErr w:type="spellEnd"/>
      <w:r w:rsidRPr="00106482">
        <w:rPr>
          <w:rFonts w:ascii="Times New Roman" w:eastAsia="Times New Roman" w:hAnsi="Times New Roman" w:cs="Times New Roman"/>
          <w:color w:val="444444"/>
          <w:sz w:val="36"/>
          <w:szCs w:val="36"/>
        </w:rPr>
        <w:t xml:space="preserve">. Dickson would “tag” </w:t>
      </w:r>
      <w:proofErr w:type="spellStart"/>
      <w:r w:rsidRPr="00106482">
        <w:rPr>
          <w:rFonts w:ascii="Times New Roman" w:eastAsia="Times New Roman" w:hAnsi="Times New Roman" w:cs="Times New Roman"/>
          <w:color w:val="444444"/>
          <w:sz w:val="36"/>
          <w:szCs w:val="36"/>
        </w:rPr>
        <w:t>Pajaud’s</w:t>
      </w:r>
      <w:proofErr w:type="spellEnd"/>
      <w:r w:rsidRPr="00106482">
        <w:rPr>
          <w:rFonts w:ascii="Times New Roman" w:eastAsia="Times New Roman" w:hAnsi="Times New Roman" w:cs="Times New Roman"/>
          <w:color w:val="444444"/>
          <w:sz w:val="36"/>
          <w:szCs w:val="36"/>
        </w:rPr>
        <w:t xml:space="preserve"> table structure with carved images reproduced from </w:t>
      </w:r>
      <w:proofErr w:type="spellStart"/>
      <w:r w:rsidRPr="00106482">
        <w:rPr>
          <w:rFonts w:ascii="Times New Roman" w:eastAsia="Times New Roman" w:hAnsi="Times New Roman" w:cs="Times New Roman"/>
          <w:color w:val="444444"/>
          <w:sz w:val="36"/>
          <w:szCs w:val="36"/>
        </w:rPr>
        <w:t>Pajaud’s</w:t>
      </w:r>
      <w:proofErr w:type="spellEnd"/>
      <w:r w:rsidRPr="00106482">
        <w:rPr>
          <w:rFonts w:ascii="Times New Roman" w:eastAsia="Times New Roman" w:hAnsi="Times New Roman" w:cs="Times New Roman"/>
          <w:color w:val="444444"/>
          <w:sz w:val="36"/>
          <w:szCs w:val="36"/>
        </w:rPr>
        <w:t xml:space="preserve"> sketchbook to create a 3D tagging and branding system.</w:t>
      </w:r>
    </w:p>
    <w:p w:rsidR="00790A9B" w:rsidRDefault="00790A9B" w:rsidP="009C666A">
      <w:pPr>
        <w:rPr>
          <w:rFonts w:ascii="Times New Roman" w:eastAsia="Times New Roman" w:hAnsi="Times New Roman" w:cs="Times New Roman"/>
          <w:i/>
          <w:iCs/>
          <w:color w:val="444444"/>
          <w:sz w:val="36"/>
          <w:szCs w:val="36"/>
        </w:rPr>
      </w:pPr>
    </w:p>
    <w:p w:rsidR="00790A9B" w:rsidRDefault="00790A9B" w:rsidP="009C666A">
      <w:pPr>
        <w:rPr>
          <w:rFonts w:ascii="Times New Roman" w:eastAsia="Times New Roman" w:hAnsi="Times New Roman" w:cs="Times New Roman"/>
          <w:i/>
          <w:iCs/>
          <w:color w:val="444444"/>
          <w:sz w:val="36"/>
          <w:szCs w:val="36"/>
        </w:rPr>
      </w:pPr>
    </w:p>
    <w:p w:rsidR="00A739B7" w:rsidRDefault="00A739B7" w:rsidP="009C666A">
      <w:pPr>
        <w:rPr>
          <w:rFonts w:ascii="Times New Roman" w:eastAsia="Times New Roman" w:hAnsi="Times New Roman" w:cs="Times New Roman"/>
          <w:b/>
          <w:i/>
          <w:iCs/>
          <w:color w:val="444444"/>
          <w:sz w:val="36"/>
          <w:szCs w:val="36"/>
        </w:rPr>
      </w:pPr>
    </w:p>
    <w:p w:rsidR="00A739B7" w:rsidRDefault="00A739B7" w:rsidP="009C666A">
      <w:pPr>
        <w:rPr>
          <w:rFonts w:ascii="Times New Roman" w:eastAsia="Times New Roman" w:hAnsi="Times New Roman" w:cs="Times New Roman"/>
          <w:b/>
          <w:i/>
          <w:iCs/>
          <w:color w:val="444444"/>
          <w:sz w:val="36"/>
          <w:szCs w:val="36"/>
        </w:rPr>
      </w:pPr>
    </w:p>
    <w:p w:rsidR="007850D7" w:rsidRDefault="009C666A" w:rsidP="009C666A">
      <w:bookmarkStart w:id="0" w:name="_GoBack"/>
      <w:bookmarkEnd w:id="0"/>
      <w:r w:rsidRPr="00790A9B">
        <w:rPr>
          <w:rFonts w:ascii="Times New Roman" w:eastAsia="Times New Roman" w:hAnsi="Times New Roman" w:cs="Times New Roman"/>
          <w:b/>
          <w:i/>
          <w:iCs/>
          <w:color w:val="444444"/>
          <w:sz w:val="36"/>
          <w:szCs w:val="36"/>
        </w:rPr>
        <w:t>Serve It Up</w:t>
      </w:r>
      <w:r w:rsidRPr="00106482">
        <w:rPr>
          <w:rFonts w:ascii="Times New Roman" w:eastAsia="Times New Roman" w:hAnsi="Times New Roman" w:cs="Times New Roman"/>
          <w:color w:val="444444"/>
          <w:sz w:val="36"/>
          <w:szCs w:val="36"/>
        </w:rPr>
        <w:t xml:space="preserve"> (2010), also in the Mingus Gallery, is an imposing piece by virtue of its physical scale (nearly two stories high) and code switching. The mixed media sculpture moves beyond being a mere tableau and becomes a ritual site where a circular counter stocked with an ample supply of liquid libation is served up to the spirits. It also holds the energy of “walking the bar,” that convoluted humiliating behavior that involved black jazz musicians, particularly horn players during the ’40s and ’50s, walking across a bar counter while playing. Dickson fabricated an oversized wooden sax, trumpet and bass, leaning against the edge of the bar, on the verge of “serving up” an ascending cloud of notes, designed to invoke and stir up the Spirits. In doing so, a tilted vortex of polyrhythmic energy coalesces like John Coltrane and Elvin Jones, themselves sending up sacred offerings.</w:t>
      </w:r>
    </w:p>
    <w:sectPr w:rsidR="007850D7" w:rsidSect="00790A9B">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UI">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6A"/>
    <w:rsid w:val="00751D1A"/>
    <w:rsid w:val="007850D7"/>
    <w:rsid w:val="00790A9B"/>
    <w:rsid w:val="009C666A"/>
    <w:rsid w:val="00A739B7"/>
    <w:rsid w:val="00B40B48"/>
    <w:rsid w:val="00C3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A67CF-D024-47B4-9206-C1F71B44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studios</dc:creator>
  <cp:keywords/>
  <dc:description/>
  <cp:lastModifiedBy>dickson studios</cp:lastModifiedBy>
  <cp:revision>3</cp:revision>
  <cp:lastPrinted>2014-02-18T21:18:00Z</cp:lastPrinted>
  <dcterms:created xsi:type="dcterms:W3CDTF">2014-01-15T18:09:00Z</dcterms:created>
  <dcterms:modified xsi:type="dcterms:W3CDTF">2014-02-18T21:18:00Z</dcterms:modified>
</cp:coreProperties>
</file>